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Pharmacy sale document checklist</w:t>
      </w:r>
    </w:p>
    <w:p>
      <w:r>
        <w:rPr>
          <w:i/>
        </w:rPr>
        <w:t>Every document a Canadian pharmacy seller needs, grouped by the stage at which it is first needed. Tick each item and note where it is kept.</w:t>
      </w:r>
    </w:p>
    <w:p>
      <w:r>
        <w:rPr>
          <w:color w:val="5F7D6B"/>
          <w:sz w:val="18"/>
        </w:rPr>
        <w:t>PharmacyBroker.ca (1553084 B.C. Ltd.), October 2026. General information from pharmacists who sell pharmacies; not legal, tax or accounting advice. Patient data is never shared before closing: only aggregated and de identified figures appear on this list.</w:t>
      </w:r>
    </w:p>
    <w:p>
      <w:pPr>
        <w:pStyle w:val="Heading2"/>
      </w:pPr>
      <w:r>
        <w:t>Stage one: before the valuation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Document</w:t>
            </w:r>
          </w:p>
        </w:tc>
        <w:tc>
          <w:tcPr>
            <w:tcW w:type="dxa" w:w="3249"/>
          </w:tcPr>
          <w:p>
            <w:r>
              <w:t>Ready?</w:t>
            </w:r>
          </w:p>
        </w:tc>
        <w:tc>
          <w:tcPr>
            <w:tcW w:type="dxa" w:w="3249"/>
          </w:tcPr>
          <w:p>
            <w:r>
              <w:t>Where it is kept</w:t>
            </w:r>
          </w:p>
        </w:tc>
      </w:tr>
      <w:tr>
        <w:tc>
          <w:tcPr>
            <w:tcW w:type="dxa" w:w="3249"/>
          </w:tcPr>
          <w:p>
            <w:r>
              <w:t>Accountant prepared financial statements, three fiscal years plus year to date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Corporate tax returns and notices of assessment for the same years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Normalization schedule: net income to normalized EBITDA, each adjustment with amount, year and supporting reference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Monthly revenue by category for 36 months (dispensary, professional services, front shop, LTC, clinic, compounding)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Rebate and professional allowance income by source, three years (where applicable)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Sales tax filings, last twelve months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Bank statements, last twelve months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</w:tbl>
    <w:p>
      <w:pPr>
        <w:pStyle w:val="Heading2"/>
      </w:pPr>
      <w:r>
        <w:t>Stage two: before marketing (CIM and data room)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Document</w:t>
            </w:r>
          </w:p>
        </w:tc>
        <w:tc>
          <w:tcPr>
            <w:tcW w:type="dxa" w:w="3249"/>
          </w:tcPr>
          <w:p>
            <w:r>
              <w:t>Ready?</w:t>
            </w:r>
          </w:p>
        </w:tc>
        <w:tc>
          <w:tcPr>
            <w:tcW w:type="dxa" w:w="3249"/>
          </w:tcPr>
          <w:p>
            <w:r>
              <w:t>Where it is kept</w:t>
            </w:r>
          </w:p>
        </w:tc>
      </w:tr>
      <w:tr>
        <w:tc>
          <w:tcPr>
            <w:tcW w:type="dxa" w:w="3249"/>
          </w:tcPr>
          <w:p>
            <w:r>
              <w:t>Prescription counts by month for 36 months, new and refill (aggregated)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Third party payer mix and share of the largest payer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Top ten prescribers by share of prescriptions, measured from the dispensing system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Days supply mix and compliance packaging volume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LTC, clinic or institutional volume by contract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The lease, every amendment, renewal and side letter; landlord contact; assignment and change of control clauses identified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Current rent and the latest reconciliation; any landlord notices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Staff list: role, start date, hours, wage or salary, benefits, written contracts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Hours of operation and planned changes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Dispensing and point of sale software, licences and support contracts, transferability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Wholesaler agreement: rebate terms, minimum purchase commitments, sale provisions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Banner or franchise agreement: transfer, consent and termination provisions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Equipment list with age and ownership or lease status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Insurance policies and claims history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</w:tbl>
    <w:p>
      <w:pPr>
        <w:pStyle w:val="Heading2"/>
      </w:pPr>
      <w:r>
        <w:t>Stage three: due diligence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Document</w:t>
            </w:r>
          </w:p>
        </w:tc>
        <w:tc>
          <w:tcPr>
            <w:tcW w:type="dxa" w:w="3249"/>
          </w:tcPr>
          <w:p>
            <w:r>
              <w:t>Ready?</w:t>
            </w:r>
          </w:p>
        </w:tc>
        <w:tc>
          <w:tcPr>
            <w:tcW w:type="dxa" w:w="3249"/>
          </w:tcPr>
          <w:p>
            <w:r>
              <w:t>Where it is kept</w:t>
            </w:r>
          </w:p>
        </w:tc>
      </w:tr>
      <w:tr>
        <w:tc>
          <w:tcPr>
            <w:tcW w:type="dxa" w:w="3249"/>
          </w:tcPr>
          <w:p>
            <w:r>
              <w:t>Pharmacy licence or certificate of accreditation; most recent inspection or assessment report with follow up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Controlled substance reconciliations and destruction records, three years; any reported loss or theft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Privacy policy; any complaint or breach, three years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Any complaint, investigation or discipline, five years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Provincial drug plan provider agreements and audit history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LTC, clinic, group home and other service agreements with assignment provisions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Supplier and service contracts above the agreed threshold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Litigation, claims or demands, threatened or current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Share sale only: minute book, share register, shareholder agreements, all contracts and liabilities of the corporation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</w:tbl>
    <w:p>
      <w:pPr>
        <w:pStyle w:val="Heading2"/>
      </w:pPr>
      <w:r>
        <w:t>Stage four: closing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Document</w:t>
            </w:r>
          </w:p>
        </w:tc>
        <w:tc>
          <w:tcPr>
            <w:tcW w:type="dxa" w:w="3249"/>
          </w:tcPr>
          <w:p>
            <w:r>
              <w:t>Ready?</w:t>
            </w:r>
          </w:p>
        </w:tc>
        <w:tc>
          <w:tcPr>
            <w:tcW w:type="dxa" w:w="3249"/>
          </w:tcPr>
          <w:p>
            <w:r>
              <w:t>Where it is kept</w:t>
            </w:r>
          </w:p>
        </w:tc>
      </w:tr>
      <w:tr>
        <w:tc>
          <w:tcPr>
            <w:tcW w:type="dxa" w:w="3249"/>
          </w:tcPr>
          <w:p>
            <w:r>
              <w:t>Inventory count arrangements and agreed exclusions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College change of ownership filing (BC: at least 30 days before closing; Ontario: at least 45 days before opening under the new owner; Alberta: licensee and proprietor changes)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Landlord's consent to lease assignment or change of control, signed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Provider number changes with the provincial plan and third party payers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Wholesaler and banner account transfers; bank, payroll and software transfers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Keys, alarm codes, signage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  <w:tr>
        <w:tc>
          <w:tcPr>
            <w:tcW w:type="dxa" w:w="3249"/>
          </w:tcPr>
          <w:p>
            <w:r>
              <w:t>Transition plan: vendor hours and duties, introductions, the agreed message to patients and staff</w:t>
            </w:r>
          </w:p>
        </w:tc>
        <w:tc>
          <w:tcPr>
            <w:tcW w:type="dxa" w:w="3249"/>
          </w:tcPr>
          <w:p>
            <w:r>
              <w:t>[ ]</w:t>
            </w:r>
          </w:p>
        </w:tc>
        <w:tc>
          <w:tcPr>
            <w:tcW w:type="dxa" w:w="3249"/>
          </w:tcPr>
          <w:p>
            <w:r/>
          </w:p>
        </w:tc>
      </w:tr>
    </w:tbl>
    <w:p/>
    <w:p>
      <w:r>
        <w:t>Explained item by item at pharmacybroker.ca/documents-to-sell-a-pharmacy/. When you want the file reviewed before a buyer sees it, that is stage one of a managed sale: pharmacybroker.ca/sell-a-pharmacy/.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