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Letter of Intent: purchase of a community pharmacy</w:t>
      </w:r>
    </w:p>
    <w:p>
      <w:r>
        <w:rPr>
          <w:i/>
        </w:rPr>
        <w:t>Commercial term sheet for a pharmacy purchase in Canada, to be converted by counsel into a signed letter of intent and then a purchase agreement</w:t>
      </w:r>
    </w:p>
    <w:p>
      <w:r>
        <w:rPr>
          <w:color w:val="5F7D6B"/>
          <w:sz w:val="18"/>
        </w:rPr>
        <w:t>Template from PharmacyBroker.ca (1553084 B.C. Ltd.). Placeholders are in [square brackets]. Drafting notes are in italics and should be deleted before use. This is a commercial document prepared by pharmacists, not legal advice, and PharmacyBroker.ca is not a law firm. Have a lawyer in the province where the pharmacy is located review it before anyone signs. Version October 2026.</w:t>
      </w:r>
    </w:p>
    <w:p>
      <w:r>
        <w:t>Date: [date]</w:t>
      </w:r>
    </w:p>
    <w:p>
      <w:r>
        <w:t>From: [Buyer legal name], [or a corporation to be incorporated and controlled by [name]] (the "Buyer")</w:t>
      </w:r>
    </w:p>
    <w:p>
      <w:r>
        <w:t>To: [Seller legal name, the corporation that owns the pharmacy], and [shareholder name(s)] (together the "Seller")</w:t>
      </w:r>
    </w:p>
    <w:p>
      <w:r>
        <w:t>Re: [Pharmacy operating name], [address], [province] (the "Pharmacy")</w:t>
      </w:r>
    </w:p>
    <w:p>
      <w:r>
        <w:t>This letter sets out the principal terms on which the Buyer proposes to acquire the Pharmacy. Except for the clauses identified in section 15 as binding, this letter is an expression of intent only and does not create an obligation on either party to complete the transaction.</w:t>
      </w:r>
    </w:p>
    <w:p>
      <w:pPr>
        <w:pStyle w:val="Heading2"/>
      </w:pPr>
      <w:r>
        <w:t>1. Parties and ownership eligibility</w:t>
      </w:r>
    </w:p>
    <w:p>
      <w:r>
        <w:t>The Buyer confirms that the entity that will own the Pharmacy at closing will meet the ownership requirements of the [College of Pharmacists of British Columbia / Ontario College of Pharmacists / Alberta College of Pharmacy / other regulator] on or before closing, including [a majority of directors being pharmacists registered in the province / a majority of each class of shares being held by pharmacists / the licensee and proprietor requirements], and will identify all direct and indirect owners as the regulator requires.</w:t>
      </w:r>
    </w:p>
    <w:p>
      <w:r>
        <w:rPr>
          <w:i/>
          <w:color w:val="5F7D6B"/>
          <w:sz w:val="19"/>
        </w:rPr>
        <w:t>Drafting note: Provincial rules differ. In BC a majority of the direct owner's directors must be BC registered pharmacists; in Ontario a majority of directors and of each class of shares must be held by pharmacists. State which rule applies and when the Buyer will satisfy it.</w:t>
      </w:r>
    </w:p>
    <w:p>
      <w:pPr>
        <w:pStyle w:val="Heading2"/>
      </w:pPr>
      <w:r>
        <w:t>2. Structure</w:t>
      </w:r>
    </w:p>
    <w:p>
      <w:r>
        <w:t>The transaction will be [an asset purchase, under which the Buyer acquires the assets of the Pharmacy from the Seller / a share purchase, under which the Buyer acquires all of the issued shares of [corporation name]].</w:t>
      </w:r>
    </w:p>
    <w:p>
      <w:r>
        <w:t>Asset purchase only. Assets included: equipment and fixtures; leasehold improvements; patient records and prescription files; goodwill and the right to use the operating name [name]; telephone numbers, domain names and social media accounts; transferable software licences; the wholesaler account where transferable; the Seller's interest in the premises lease; [other]. Assets excluded: cash and bank balances; accounts receivable [or: accounts receivable to be purchased at [x] percent of face value]; the Seller's corporate records; [vehicle]; [personal items]; [contracts the Buyer does not assume].</w:t>
      </w:r>
    </w:p>
    <w:p>
      <w:r>
        <w:rPr>
          <w:i/>
          <w:color w:val="5F7D6B"/>
          <w:sz w:val="19"/>
        </w:rPr>
        <w:t>Drafting note: The choice between asset and share purchase drives tax, liability, the lease and the College filing. If undecided, state the price for the asset case and that a share purchase may be agreed on terms to be negotiated.</w:t>
      </w:r>
    </w:p>
    <w:p>
      <w:pPr>
        <w:pStyle w:val="Heading2"/>
      </w:pPr>
      <w:r>
        <w:t>3. Purchase price</w:t>
      </w:r>
    </w:p>
    <w:p>
      <w:r>
        <w:t>The purchase price for the Pharmacy is $[amount] (the "Purchase Price"), payable in cash at closing except as set out in sections 5 and 12.</w:t>
      </w:r>
    </w:p>
    <w:p>
      <w:r>
        <w:t>The Purchase Price is for the operating business (equipment, fixtures, leasehold improvements, patient records and goodwill) on a cash free, debt free basis, and excludes inventory, which is dealt with in section 4.</w:t>
      </w:r>
    </w:p>
    <w:p>
      <w:r>
        <w:t>The Purchase Price is based on normalized EBITDA of $[amount] for the [twelve] months ended [date], as presented in the Confidential Information Memorandum dated [date]. [If due diligence establishes that normalized EBITDA for that period was materially different, the parties will negotiate in good faith an adjustment to the Purchase Price.]</w:t>
      </w:r>
    </w:p>
    <w:p>
      <w:r>
        <w:rPr>
          <w:i/>
          <w:color w:val="5F7D6B"/>
          <w:sz w:val="19"/>
        </w:rPr>
        <w:t>Drafting note: Tying the price to the presented figure gives the Buyer a basis to adjust for a verified difference and the Seller the argument that a verified figure means no adjustment.</w:t>
      </w:r>
    </w:p>
    <w:p>
      <w:pPr>
        <w:pStyle w:val="Heading2"/>
      </w:pPr>
      <w:r>
        <w:t>4. Inventory</w:t>
      </w:r>
    </w:p>
    <w:p>
      <w:r>
        <w:t>In addition to the Purchase Price, the Buyer will purchase the Pharmacy's saleable inventory at the Seller's cost, being [the wholesaler's invoice cost] [less volume rebates of [x] percent], as determined by a physical count conducted by [an independent inventory service / the parties jointly] on [the day before closing / closing day].</w:t>
      </w:r>
    </w:p>
    <w:p>
      <w:r>
        <w:t>Excluded from inventory: expired product; product with less than [three / six] months remaining before expiry; damaged, opened or otherwise unsaleable product; [front shop product other than [categories]].</w:t>
      </w:r>
    </w:p>
    <w:p>
      <w:r>
        <w:t>[The inventory purchase price will not exceed $[cap] without the Buyer's written consent.] [Any inventory in excess of $[amount] will be paid by the Buyer in [three] equal monthly instalments following closing.]</w:t>
      </w:r>
    </w:p>
    <w:p>
      <w:r>
        <w:t>Controlled substances will be counted, recorded and transferred in accordance with the Controlled Substances Regulations and the requirements of the regulator.</w:t>
      </w:r>
    </w:p>
    <w:p>
      <w:r>
        <w:rPr>
          <w:i/>
          <w:color w:val="5F7D6B"/>
          <w:sz w:val="19"/>
        </w:rPr>
        <w:t>Drafting note: A cap protects a Buyer whose financing was approved on a stated inventory figure. A payment plan is the usual alternative.</w:t>
      </w:r>
    </w:p>
    <w:p>
      <w:pPr>
        <w:pStyle w:val="Heading2"/>
      </w:pPr>
      <w:r>
        <w:t>5. Deposit</w:t>
      </w:r>
    </w:p>
    <w:p>
      <w:r>
        <w:t>Within [three] business days after this letter is signed, the Buyer will pay a deposit of $[amount] [about [x] percent of the Purchase Price] to [Seller's lawyer / Buyer's lawyer], to be held in trust and credited to the Purchase Price at closing.</w:t>
      </w:r>
    </w:p>
    <w:p>
      <w:r>
        <w:t>The deposit is refundable to the Buyer if the transaction does not close because a condition in section 9 is not satisfied or waived. [The deposit becomes non-refundable at the end of the Due Diligence Period, except where the transaction fails to close because of the condition in section 9(c) or 9(d).]</w:t>
      </w:r>
    </w:p>
    <w:p>
      <w:r>
        <w:rPr>
          <w:i/>
          <w:color w:val="5F7D6B"/>
          <w:sz w:val="19"/>
        </w:rPr>
        <w:t>Drafting note: Deposits of about 5 to 10 percent of the price are common. State clearly whether and when the deposit becomes non-refundable.</w:t>
      </w:r>
    </w:p>
    <w:p>
      <w:pPr>
        <w:pStyle w:val="Heading2"/>
      </w:pPr>
      <w:r>
        <w:t>6. Due diligence</w:t>
      </w:r>
    </w:p>
    <w:p>
      <w:r>
        <w:t>The Buyer will have [30 / 45 / 60] days from the date the Seller delivers the information listed in Schedule A (the "Due Diligence Period") to review the business, financial, legal and regulatory affairs of the Pharmacy.</w:t>
      </w:r>
    </w:p>
    <w:p>
      <w:r>
        <w:t>The Seller will provide the information in Schedule A through [a data room / counsel] and will make the owner available for [number] meetings. The Buyer will have access to the premises [outside opening hours] [on [number] occasions] accompanied by the Seller, and will not speak with staff without the Seller's consent.</w:t>
      </w:r>
    </w:p>
    <w:p>
      <w:r>
        <w:t>Before closing the Seller will provide patient related information in aggregated and de identified form only (prescription counts, payer mix, prescriber shares, days supply mix). Identifiable patient records will transfer at closing in accordance with applicable privacy law.</w:t>
      </w:r>
    </w:p>
    <w:p>
      <w:r>
        <w:rPr>
          <w:i/>
          <w:color w:val="5F7D6B"/>
          <w:sz w:val="19"/>
        </w:rPr>
        <w:t>Drafting note: Attach the request list as Schedule A so the period starts from a defined delivery. PharmacyBroker.ca's due diligence request list can be used.</w:t>
      </w:r>
    </w:p>
    <w:p>
      <w:pPr>
        <w:pStyle w:val="Heading2"/>
      </w:pPr>
      <w:r>
        <w:t>7. Exclusivity</w:t>
      </w:r>
    </w:p>
    <w:p>
      <w:r>
        <w:t>From the date this letter is signed until the earlier of [date] [or: [60 / 75 / 90] days after signing] and the date either party gives written notice that it is not proceeding (the "Exclusivity Period"), the Seller will not, directly or through any agent, solicit, entertain or negotiate any offer for the Pharmacy or its shares from any other person, and will promptly notify the Buyer of any unsolicited approach.</w:t>
      </w:r>
    </w:p>
    <w:p>
      <w:r>
        <w:t>[If the Buyer is proceeding diligently and in good faith at the end of the Exclusivity Period, the Seller will extend it by up to [15 / 30] days on request.]</w:t>
      </w:r>
    </w:p>
    <w:p>
      <w:r>
        <w:t>[The Buyer will submit a complete financing application to its lender within [10] business days after signing and will provide the Seller with evidence that it has done so.]</w:t>
      </w:r>
    </w:p>
    <w:p>
      <w:r>
        <w:rPr>
          <w:i/>
          <w:color w:val="5F7D6B"/>
          <w:sz w:val="19"/>
        </w:rPr>
        <w:t>Drafting note: Tie the exclusivity period to the due diligence period and the financing deadline. A Seller should see evidence of realistic financing before granting it.</w:t>
      </w:r>
    </w:p>
    <w:p>
      <w:pPr>
        <w:pStyle w:val="Heading2"/>
      </w:pPr>
      <w:r>
        <w:t>8. Confidentiality</w:t>
      </w:r>
    </w:p>
    <w:p>
      <w:r>
        <w:t>The non-disclosure agreement between the parties dated [date] continues to apply. The existence and terms of this letter are confidential. Neither party will make any announcement about the proposed transaction, or contact the Pharmacy's staff, patients, prescribers, landlord, wholesaler or banner about it, without the other party's written consent, except as required to satisfy the conditions in section 9.</w:t>
      </w:r>
    </w:p>
    <w:p>
      <w:pPr>
        <w:pStyle w:val="Heading2"/>
      </w:pPr>
      <w:r>
        <w:t>9. Conditions</w:t>
      </w:r>
    </w:p>
    <w:p>
      <w:r>
        <w:t>Completion of the transaction is subject to the following conditions:</w:t>
      </w:r>
    </w:p>
    <w:p>
      <w:r>
        <w:t>(a) The Buyer being satisfied, in its sole discretion, with the results of its due diligence by the end of the Due Diligence Period.</w:t>
      </w:r>
    </w:p>
    <w:p>
      <w:r>
        <w:t>(b) The Buyer obtaining a written financing commitment on terms satisfactory to it by [date] [or: within [30 / 45] days after signing].</w:t>
      </w:r>
    </w:p>
    <w:p>
      <w:r>
        <w:t>(c) The landlord consenting to [the assignment of the premises lease to the Buyer / the change of control of the tenant] on terms acceptable to the Buyer, [including [a renewal / an extension of the term to [date]]].</w:t>
      </w:r>
    </w:p>
    <w:p>
      <w:r>
        <w:t>(d) The [regulator] approving the change of ownership of the Pharmacy [and issuing a new licence / certificate of accreditation] to the Buyer. The parties acknowledge the regulator's lead time of at least [30 days in BC / 45 days in Ontario / as applicable] and will file [the Buyer / the Seller / jointly] the required application no later than [date].</w:t>
      </w:r>
    </w:p>
    <w:p>
      <w:r>
        <w:t>(e) [The assignment to the Buyer of the following contracts: [long term care agreement with [home]; clinic agreement; banner agreement; wholesaler agreement].]</w:t>
      </w:r>
    </w:p>
    <w:p>
      <w:r>
        <w:t>(f) No material adverse change in the business, prescription volume, staffing or premises of the Pharmacy between the date of this letter and closing.</w:t>
      </w:r>
    </w:p>
    <w:p>
      <w:r>
        <w:t>(g) The parties entering into a definitive purchase agreement by [date].</w:t>
      </w:r>
    </w:p>
    <w:p>
      <w:r>
        <w:t>Conditions (a), (b), (c) and (e) are for the Buyer's benefit and may be waived by the Buyer. Condition (d) is for the benefit of both parties. Condition (f) is for the Buyer's benefit.</w:t>
      </w:r>
    </w:p>
    <w:p>
      <w:r>
        <w:rPr>
          <w:i/>
          <w:color w:val="5F7D6B"/>
          <w:sz w:val="19"/>
        </w:rPr>
        <w:t>Drafting note: Every condition needs a date and a party who can waive it. The College's lead time must be built into the closing date.</w:t>
      </w:r>
    </w:p>
    <w:p>
      <w:pPr>
        <w:pStyle w:val="Heading2"/>
      </w:pPr>
      <w:r>
        <w:t>10. Vendor transition and employment</w:t>
      </w:r>
    </w:p>
    <w:p>
      <w:r>
        <w:t>After closing, [name of vendor pharmacist] will [be employed by / provide services to] the Buyer for [number] [weeks / months] at [number] hours per week, at [a rate of $[x] per hour / a salary of $[x] / no charge], to introduce the Buyer to patients, prescribers [and long term care homes], and to train the Buyer's team on the dispensary system and the Pharmacy's procedures.</w:t>
      </w:r>
    </w:p>
    <w:p>
      <w:r>
        <w:rPr>
          <w:i/>
          <w:color w:val="5F7D6B"/>
          <w:sz w:val="19"/>
        </w:rPr>
        <w:t>Drafting note: Transition periods run from a few weeks to several months. Define hours and pay.</w:t>
      </w:r>
    </w:p>
    <w:p>
      <w:pPr>
        <w:pStyle w:val="Heading2"/>
      </w:pPr>
      <w:r>
        <w:t>11. Non-competition and non-solicitation</w:t>
      </w:r>
    </w:p>
    <w:p>
      <w:r>
        <w:t>For [number] years after closing, the Seller and [shareholder name(s)] will not own, operate, manage or work in a pharmacy within [number] kilometres of the Pharmacy, and will not solicit the Pharmacy's staff, patients or prescribers, [except for employment with the Buyer under section 10].</w:t>
      </w:r>
    </w:p>
    <w:p>
      <w:r>
        <w:rPr>
          <w:i/>
          <w:color w:val="5F7D6B"/>
          <w:sz w:val="19"/>
        </w:rPr>
        <w:t>Drafting note: Enforceability varies by province and by the facts. Record what the parties intend; counsel will draft.</w:t>
      </w:r>
    </w:p>
    <w:p>
      <w:pPr>
        <w:pStyle w:val="Heading2"/>
      </w:pPr>
      <w:r>
        <w:t>12. Holdback, earnout and adjustments</w:t>
      </w:r>
    </w:p>
    <w:p>
      <w:r>
        <w:t>[None.] [$[amount] of the Purchase Price will be held in trust by [lawyer] for [12 / 18 / 24] months after closing as security for the Seller's representations and warranties, and released to the Seller less any agreed claims.] [$[amount] of the Purchase Price is payable [12] months after closing if [prescription count / services revenue / revenue] for that period is at least [x], and reduced proportionately if it is less.] [The Purchase Price will be adjusted at closing for [working capital / prepaid expenses / accrued vacation pay] against a target of $[amount].]</w:t>
      </w:r>
    </w:p>
    <w:p>
      <w:r>
        <w:rPr>
          <w:i/>
          <w:color w:val="5F7D6B"/>
          <w:sz w:val="19"/>
        </w:rPr>
        <w:t>Drafting note: State the headline price and the cash at closing as two separate numbers. Earnouts need a measurable metric, a measurement period and a dispute mechanism.</w:t>
      </w:r>
    </w:p>
    <w:p>
      <w:pPr>
        <w:pStyle w:val="Heading2"/>
      </w:pPr>
      <w:r>
        <w:t>13. Allocation of purchase price</w:t>
      </w:r>
    </w:p>
    <w:p>
      <w:r>
        <w:t>[For an asset purchase] The Purchase Price will be allocated among the purchased assets as follows: equipment and fixtures $[x]; leasehold improvements $[x]; patient records and prescription files $[x]; goodwill $[x]; [other]. [or: The parties will agree an allocation in the purchase agreement, each acting reasonably, and will file their tax returns consistently with it.]</w:t>
      </w:r>
    </w:p>
    <w:p>
      <w:r>
        <w:rPr>
          <w:i/>
          <w:color w:val="5F7D6B"/>
          <w:sz w:val="19"/>
        </w:rPr>
        <w:t>Drafting note: Each side's accountant should review the allocation before it is fixed.</w:t>
      </w:r>
    </w:p>
    <w:p>
      <w:pPr>
        <w:pStyle w:val="Heading2"/>
      </w:pPr>
      <w:r>
        <w:t>14. Costs, closing date and other terms</w:t>
      </w:r>
    </w:p>
    <w:p>
      <w:r>
        <w:t>Each party will pay its own legal, accounting and advisory costs. [If the Buyer terminates for a reason other than the failure of a condition in section 9, the Buyer will reimburse the Seller's reasonable legal costs up to $[amount].]</w:t>
      </w:r>
    </w:p>
    <w:p>
      <w:r>
        <w:t>The target closing date is [date], being approximately [90 / 120] days after signing, or such other date as the parties agree, allowing for the regulator's lead time.</w:t>
      </w:r>
    </w:p>
    <w:p>
      <w:r>
        <w:t>The purchase agreement will contain representations, warranties, covenants and indemnities customary for a transaction of this kind, including as to the Pharmacy's licences, compliance with the regulator's standards and applicable drug, privacy and employment law, the absence of undisclosed liabilities, and the accuracy of the financial information provided.</w:t>
      </w:r>
    </w:p>
    <w:p>
      <w:r>
        <w:t>This letter is governed by the laws of [province] and the federal laws of Canada applicable there.</w:t>
      </w:r>
    </w:p>
    <w:p>
      <w:pPr>
        <w:pStyle w:val="Heading2"/>
      </w:pPr>
      <w:r>
        <w:t>15. Binding and non-binding provisions</w:t>
      </w:r>
    </w:p>
    <w:p>
      <w:r>
        <w:t>Sections 7 (Exclusivity), 8 (Confidentiality), 14 (Costs and governing law) and this section 15 are binding on the parties on signing. [Section 9(d) as to the filing of the regulator's application is binding.] All other provisions of this letter are an expression of the parties' current intention only, are not binding, and do not create an obligation on either party to complete the transaction. Any obligation to buy or sell will arise only under a signed purchase agreement.</w:t>
      </w:r>
    </w:p>
    <w:p>
      <w:r>
        <w:rPr>
          <w:i/>
          <w:color w:val="5F7D6B"/>
          <w:sz w:val="19"/>
        </w:rPr>
        <w:t>Drafting note: This is the clause a court reads first. Have counsel draft it.</w:t>
      </w:r>
    </w:p>
    <w:p>
      <w:pPr>
        <w:pStyle w:val="Heading2"/>
      </w:pPr>
      <w:r>
        <w:t>Signatures</w:t>
      </w:r>
    </w:p>
    <w:p>
      <w:r>
        <w:t>[Buyer legal name]</w:t>
        <w:br/>
        <w:t>Per: ______________________</w:t>
        <w:br/>
        <w:t>Name: [name]</w:t>
        <w:br/>
        <w:t>Title: [title]</w:t>
        <w:br/>
        <w:t>Date: [date]</w:t>
      </w:r>
    </w:p>
    <w:p>
      <w:r>
        <w:t>[Seller legal name]</w:t>
        <w:br/>
        <w:t>Per: ______________________</w:t>
        <w:br/>
        <w:t>Name: [name]</w:t>
        <w:br/>
        <w:t>Title: [title]</w:t>
        <w:br/>
        <w:t>Date: [date]</w:t>
      </w:r>
    </w:p>
    <w:p>
      <w:r>
        <w:t>[Shareholder name(s)]</w:t>
        <w:br/>
        <w:t>______________________</w:t>
        <w:br/>
        <w:t>Date: [date]</w:t>
      </w:r>
    </w:p>
    <w:p>
      <w:pPr>
        <w:pStyle w:val="Heading2"/>
      </w:pPr>
      <w:r>
        <w:t>Schedule A: Due diligence request list</w:t>
      </w:r>
    </w:p>
    <w:p>
      <w:pPr>
        <w:pStyle w:val="Heading3"/>
      </w:pPr>
      <w:r>
        <w:t>Financial</w:t>
      </w:r>
    </w:p>
    <w:p>
      <w:pPr>
        <w:pStyle w:val="ListBullet"/>
      </w:pPr>
      <w:r>
        <w:t>Financial statements for the last three fiscal years and year to date</w:t>
      </w:r>
    </w:p>
    <w:p>
      <w:pPr>
        <w:pStyle w:val="ListBullet"/>
      </w:pPr>
      <w:r>
        <w:t>Corporate tax returns and notices of assessment for the same years</w:t>
      </w:r>
    </w:p>
    <w:p>
      <w:pPr>
        <w:pStyle w:val="ListBullet"/>
      </w:pPr>
      <w:r>
        <w:t>The normalization schedule supporting the normalized EBITDA in section 3, with supporting invoices for each add back</w:t>
      </w:r>
    </w:p>
    <w:p>
      <w:pPr>
        <w:pStyle w:val="ListBullet"/>
      </w:pPr>
      <w:r>
        <w:t>Sales tax filings for the last twelve months</w:t>
      </w:r>
    </w:p>
    <w:p>
      <w:pPr>
        <w:pStyle w:val="ListBullet"/>
      </w:pPr>
      <w:r>
        <w:t>Monthly revenue by category (dispensary, professional services, front shop) for the last 36 months</w:t>
      </w:r>
    </w:p>
    <w:p>
      <w:pPr>
        <w:pStyle w:val="ListBullet"/>
      </w:pPr>
      <w:r>
        <w:t>Accounts payable and receivable aging</w:t>
      </w:r>
    </w:p>
    <w:p>
      <w:pPr>
        <w:pStyle w:val="ListBullet"/>
      </w:pPr>
      <w:r>
        <w:t>Bank statements for the last twelve months</w:t>
      </w:r>
    </w:p>
    <w:p>
      <w:pPr>
        <w:pStyle w:val="Heading3"/>
      </w:pPr>
      <w:r>
        <w:t>Prescriptions (aggregated and de identified only)</w:t>
      </w:r>
    </w:p>
    <w:p>
      <w:pPr>
        <w:pStyle w:val="ListBullet"/>
      </w:pPr>
      <w:r>
        <w:t>Prescription counts by month for the last 36 months, new and refill</w:t>
      </w:r>
    </w:p>
    <w:p>
      <w:pPr>
        <w:pStyle w:val="ListBullet"/>
      </w:pPr>
      <w:r>
        <w:t>Third party payer mix and the share of the largest payer</w:t>
      </w:r>
    </w:p>
    <w:p>
      <w:pPr>
        <w:pStyle w:val="ListBullet"/>
      </w:pPr>
      <w:r>
        <w:t>Top ten prescribers by share of prescriptions, measured from the dispensing system</w:t>
      </w:r>
    </w:p>
    <w:p>
      <w:pPr>
        <w:pStyle w:val="ListBullet"/>
      </w:pPr>
      <w:r>
        <w:t>Days supply mix and compliance packaging volume</w:t>
      </w:r>
    </w:p>
    <w:p>
      <w:pPr>
        <w:pStyle w:val="ListBullet"/>
      </w:pPr>
      <w:r>
        <w:t>Long term care, clinic or other institutional volume by contract</w:t>
      </w:r>
    </w:p>
    <w:p>
      <w:pPr>
        <w:pStyle w:val="ListBullet"/>
      </w:pPr>
      <w:r>
        <w:t>Rebate and professional allowance income, by source, for the last three years</w:t>
      </w:r>
    </w:p>
    <w:p>
      <w:pPr>
        <w:pStyle w:val="Heading3"/>
      </w:pPr>
      <w:r>
        <w:t>Operations</w:t>
      </w:r>
    </w:p>
    <w:p>
      <w:pPr>
        <w:pStyle w:val="ListBullet"/>
      </w:pPr>
      <w:r>
        <w:t>Staff list with role, start date, hours, wage or salary, benefits and any written contract</w:t>
      </w:r>
    </w:p>
    <w:p>
      <w:pPr>
        <w:pStyle w:val="ListBullet"/>
      </w:pPr>
      <w:r>
        <w:t>Hours of operation and any planned changes</w:t>
      </w:r>
    </w:p>
    <w:p>
      <w:pPr>
        <w:pStyle w:val="ListBullet"/>
      </w:pPr>
      <w:r>
        <w:t>Dispensing and point of sale software, licences and support contracts</w:t>
      </w:r>
    </w:p>
    <w:p>
      <w:pPr>
        <w:pStyle w:val="ListBullet"/>
      </w:pPr>
      <w:r>
        <w:t>Wholesaler agreement, including rebate terms and any minimum purchase commitment</w:t>
      </w:r>
    </w:p>
    <w:p>
      <w:pPr>
        <w:pStyle w:val="ListBullet"/>
      </w:pPr>
      <w:r>
        <w:t>Banner or franchise agreement and any transfer, consent or termination provisions</w:t>
      </w:r>
    </w:p>
    <w:p>
      <w:pPr>
        <w:pStyle w:val="ListBullet"/>
      </w:pPr>
      <w:r>
        <w:t>Equipment list with age and ownership or lease status</w:t>
      </w:r>
    </w:p>
    <w:p>
      <w:pPr>
        <w:pStyle w:val="ListBullet"/>
      </w:pPr>
      <w:r>
        <w:t>Insurance policies and claims history</w:t>
      </w:r>
    </w:p>
    <w:p>
      <w:pPr>
        <w:pStyle w:val="Heading3"/>
      </w:pPr>
      <w:r>
        <w:t>Premises</w:t>
      </w:r>
    </w:p>
    <w:p>
      <w:pPr>
        <w:pStyle w:val="ListBullet"/>
      </w:pPr>
      <w:r>
        <w:t>The lease, all amendments and renewals, and the landlord's contact details</w:t>
      </w:r>
    </w:p>
    <w:p>
      <w:pPr>
        <w:pStyle w:val="ListBullet"/>
      </w:pPr>
      <w:r>
        <w:t>Assignment and change of control provisions, renewal options, demised area and permitted use</w:t>
      </w:r>
    </w:p>
    <w:p>
      <w:pPr>
        <w:pStyle w:val="ListBullet"/>
      </w:pPr>
      <w:r>
        <w:t>Current rent, additional rent and the most recent reconciliation</w:t>
      </w:r>
    </w:p>
    <w:p>
      <w:pPr>
        <w:pStyle w:val="ListBullet"/>
      </w:pPr>
      <w:r>
        <w:t>Any notices from the landlord in the last three years</w:t>
      </w:r>
    </w:p>
    <w:p>
      <w:pPr>
        <w:pStyle w:val="Heading3"/>
      </w:pPr>
      <w:r>
        <w:t>Regulatory</w:t>
      </w:r>
    </w:p>
    <w:p>
      <w:pPr>
        <w:pStyle w:val="ListBullet"/>
      </w:pPr>
      <w:r>
        <w:t>Pharmacy licence or certificate of accreditation and the most recent inspection or assessment report</w:t>
      </w:r>
    </w:p>
    <w:p>
      <w:pPr>
        <w:pStyle w:val="ListBullet"/>
      </w:pPr>
      <w:r>
        <w:t>Controlled substance records, reconciliations and any reported loss or theft in the last three years</w:t>
      </w:r>
    </w:p>
    <w:p>
      <w:pPr>
        <w:pStyle w:val="ListBullet"/>
      </w:pPr>
      <w:r>
        <w:t>Privacy policy and any privacy complaint or breach in the last three years</w:t>
      </w:r>
    </w:p>
    <w:p>
      <w:pPr>
        <w:pStyle w:val="ListBullet"/>
      </w:pPr>
      <w:r>
        <w:t>Any complaint, investigation or discipline involving the Pharmacy or its pharmacists in the last five years</w:t>
      </w:r>
    </w:p>
    <w:p>
      <w:pPr>
        <w:pStyle w:val="ListBullet"/>
      </w:pPr>
      <w:r>
        <w:t>Provincial drug plan provider agreements and audit history</w:t>
      </w:r>
    </w:p>
    <w:p>
      <w:pPr>
        <w:pStyle w:val="Heading3"/>
      </w:pPr>
      <w:r>
        <w:t>Contracts and corporate</w:t>
      </w:r>
    </w:p>
    <w:p>
      <w:pPr>
        <w:pStyle w:val="ListBullet"/>
      </w:pPr>
      <w:r>
        <w:t>Long term care, clinic, group home or other service agreements</w:t>
      </w:r>
    </w:p>
    <w:p>
      <w:pPr>
        <w:pStyle w:val="ListBullet"/>
      </w:pPr>
      <w:r>
        <w:t>Supplier and service contracts over $[amount] a year</w:t>
      </w:r>
    </w:p>
    <w:p>
      <w:pPr>
        <w:pStyle w:val="ListBullet"/>
      </w:pPr>
      <w:r>
        <w:t>Any litigation, claim or demand, threatened or current</w:t>
      </w:r>
    </w:p>
    <w:p>
      <w:pPr>
        <w:pStyle w:val="ListBullet"/>
      </w:pPr>
      <w:r>
        <w:t>For a share purchase: minute book, share register, shareholder agreements, and all contracts and liabilities of the corporation</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